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themes of the text are operating systems, e-business, and internal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12:58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12:59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themes of the text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 e-business, and internal 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critical for accountants to understand enterprise resource planning (ERP)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integrate the business processes and information from a few of an organization’s functional areas.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systems reliability and electronic commerce have been identified by the AICPA as potential assurance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use of electronic networks to enable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processes between individuals and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resource planning (ERP) systems are software packages that can be used to support enterprise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E-business is the application of electronic networks to undertake business processes among the functional areas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use of electronic networks to enable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processes between individuals and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E-business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has created new ways of working within and across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accountant has evolved to include non-financial information and information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 integrate an organization’s business processes and information from all of an organization’s functional areas.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systems consist of an integrated set of computer-based and manual components established to provide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 is a process that provides complete assurance that the organization is meeting its objectives, such as efficiency and effectiveness of operations and reliable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 is a process that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can be used for the core systems necessary to support enterprise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of 2002 has dramatically changed the daily work of financial accountants and auditors.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 store almost all information about business events for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Knowledge of traditional accounting concepts is enough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succeed in today’s business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Sarbanes-Oxley Act of 2002, management must identify, document, and evaluate significant internal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Sarbanes-Oxley Act of 2002 and PCAOB Auditing Standard No. 5, management must audit and report on auditors’ assertions about the organizations’ systems of internal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Sarbanes-Oxley Act’s Section 409, material changes in the organization’s financial condition must be disclosed to the public on a rapid and current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Act’s Section 404 creates changes in both how companies document and evaluate internal control and how auditors audit and report on internal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Sarbanes-Oxley Section 404 compliance is a major line of business for the biggest accounting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Sarbanes-Oxley Act’s Section 409, auditors must report on the effectiveness of the organization’s system of internal 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of 2002 applies to publicly traded companies and not-for-profit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the purpose of an accounting information system is to collect, process, and report financial aspects of business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Traditionally, accountants have been experts on controlling business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the AIS was a specialized subsystem of the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Sales/marketing information system is traditionally part of 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Billing/accounts receivable is traditionally part of 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and personnel are part of the operations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process includes marketing and sales.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is capable of making a difference in a decision-making situation, by reducing uncertainty or increasing knowledge for that particular decision, has the quality of relevance.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a customer’s credit history that is received after the decision to grant additional credit lacks completeness.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consistency principle is violated when a firm uses straight-line depreciation one year and changes to declining balance depreciation the next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Accuracy is the correspondence or agreement between the information and the actual events or objects that the information represents.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has understandability when it is capable of making a difference in a decision-making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important information for tactical management involves information about the organization’s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Deciding how much credit to grant to a customer is a structured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 requires more detailed information than operations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steps in decision making take place in the sequence of (1) intelligence, (2) design, and (3) choice.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managers use more information from outside the organization than do operations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 requires information that is more accurate and timely than strategic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9/14/2017 1:16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controls will be necessary is a question that an accountant answers in the design of 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As a designer of the AIS the accountant will test a new system’s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 must know an organization’s objectives to understand that business as a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 must know an organization’s objectives to understand the interactions of the business’s subsystems.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can be used as “leverage” to improve operational effectiveness and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effectiveness quality stands separate from other information qualities.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As a user of the AIS an accountant may be called upon to participate in the AIS design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2:53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three themes of the text book include all of the following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and effectiveness of operations are goals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interdependent elements that together accomplish specific objectives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system can be further divided into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 system that consists of an integrated set of computer-based and manual components established to collect, store, and manage data and to provide output information to users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An information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composed of only the computer-based information resources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consist of both computer-based and manual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different from a data processing system because it uses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generally used for transaction processing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AICPA has identified all but which of the following as non-audit assurance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systems reliability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commerce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assurance services identified by the 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sequence of components in the functional model of an information system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 Input, Processing,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 Processing, Output,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Processing, Input, Users,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Users, Processing, Input, Output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the relationship between an information system and an accounting information system has been: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AIS is a part of the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IS is a part of the AIS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IS and the AIS are one in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IS and AIS are unrelated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text takes the following view of the relationship between an IS and an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AIS is part of the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IS is part of the AIS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IS and the AIS are one in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AIS is the primary system and the IS the subsystem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man-made system that generally consists of an integrated set of computer-based components and manual components established to collect, store, and manage data and to provide output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event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____, one of the responsibilities of accountants is to assess financial operations and make best-practices recommendations to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Sarbanes-Oxley Act of 2002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Outlook Handbook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man-made system consisting of people, equipment, organization, policies, and procedures with the objective of accomplishing the work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man-made system consisting of people, authority, organization, policies, and procedures whose objective is to accomplish the work of planning and controlling the operations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three logical components of a business process include all of the following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process facilitates operations by maintaining data such as inventory and customer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process provides the means by which management monitors the operations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designs the operations and information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statements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designs the operations and information processes and establishes these processes with people, equipment, and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 users include operations personnel, management, and people outside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Operations-related and accounting-related processes are designed by those external to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statements are 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____ is (are) data presented in a form that is useful to decision makers.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____ are facts and figures in raw 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3:19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components of relevance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components of reliability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of 2002 dramatically changed the daily work of financial accountants and auditors because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expanded the scope of the audit beyond financial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 that organizations work with their auditors to design systems of internal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 that external auditors report on the effectiveness of an organizations system of internal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expanded the opportunities for auditors to engage in consulting activities with their audit clients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 is a process designed to provide absolute assurance regarding achieving objectives in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and effectiveness of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reliability of reporting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with applicable laws and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business processes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Events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____ improves the decision maker’s capacity to predict, confirm, or correct earlier expectations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quality that enables users to identify similarities and differences in two pieces of information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correspondence or agreement between the information and the actual events or objects that the information represents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degree to which information includes data about every relevant object or event necessary to make a decision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of more than one individual to come to the same measurement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If information arrives too late to impact a decision then there is a problem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three steps in decision making as described in the 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management problem structure and information requirements, which of the following represents the vertical information flows from lowest to highest?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 tactical management, operations management, operations and business event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and business event processing, strategic management, tactical management, operations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 operations management, strategic management, operations and business event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and business event processing, operations management, tactical management, strategic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usually tactical management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the use of an organization’s AIS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relatively routine and repetitive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unstructured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inventory to reorder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fast an assembly line should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scheduled maintenance should be performed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research and development projects should be undertaken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At which level of the organization are decisions most unstructured?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and business event processing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____ requires information to assess the environment and to project future events and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and business event processing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manager may be more concerned with accuracy than with timeliness.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central repository for all the data related to the enterprise’s business activities and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information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E-business does not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processes between individuals and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networks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ERP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interaction between back-office and front-office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integrate back-office and front-office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include ERP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become fairly easy to implement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facilitate business processes between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 is relatively unstructured.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 uses much information from outside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 focuses on relevant operations units and uses some external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 uses the most detailed and accurate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which of the following is NOT one of the three roles an accountant typically fills in relation to 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questions might the accountant answer in the design of 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will be recorded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controls are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reports will be produced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element of the operations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one of the three most prominent management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an activity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 is an activity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Data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of error and complete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facts and figures in raw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useful to the decision maker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 value to the decision maker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 of objects and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facts and figures in raw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useful to the decision maker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lacking in 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AICPA states that information technologies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affecting the way in which organizations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nature and economies of accounting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competitive environment in which accountants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3:56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______________________________, and ______________________________ are the three themes of the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 e-business, internal control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systems, internal control, e-business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 enterprise systems, e-business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 e-business, enterprise systems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E-business, enterprise systems, internal control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E-business, internal control, enterprise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______________________________ Act of 2002 changed the daily work of financial accountants, auditors, and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Sarbanes-Oxley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______________________________ is a set of independent elements that together accomplish specific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Each part of a system is known as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A system’s __________ ____________ depends on its type—natural, biological, or man-made—and on the particular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 objectives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Software packages that can be used for the core systems necessary to support enterprise systems are called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resource planning (ERP) systems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enterprise resource planning systems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ERP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is the application of electronic networks (including the Internet) to undertake business processes between individuals and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 _____________ is a process put in place by an entity’s board of directors, management, and other personnel and designed to provide reasonable assurance regarding achieving objectives in the following categories: efficiency and effectiveness of operations, reliability of reporting, and compliance with applicable laws and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control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 _________________ units of large and small public accounting firms have accounted for a significant percentage of the firms’ business and were growing faster than the accounting, auditing, and tax portions of their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consulting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Hiring employees, purchasing inventory, and collecting cash from customers are all components of _________ 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operations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logical components of a business process are the _____________________ process, the ____________ process, and the ____________process.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operations,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information, operations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management, operations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operations,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information,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the accountant has performed a(n) ______________________________ function to determine the reliability of financial information presented in printed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______________________________ system generally consists of both computerized and manual components established to collect, store, and manage data and to provide output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______________________________ is a man-made system consisting of the people, equipment, organization, policies, and procedures whose objective is to accomplish the work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To present the results of their endeavors effectively, accountants must possess strong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oral and written communication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decisions are those for which all three decision phases (intelligence, design, and choice) are relatively routine or repetitive.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______________________________ is designed to collect, process, and report information related to financial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2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system (AIS)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Input, processing, ______________________________, and users are included in a functional model of an information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highest level of management activity and the one with the broadest scope is ______________________________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management hierarchy, the level that lies between strategic management and operations management is called ______________________________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is data presented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 a form that is useful in a decision-making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Facts or figures in raw form are referred to as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enables users to perceive the information’s significance.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is an information quality that can be expanded into validity, accuracy, and completeness.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 of information must be evaluated in relation to the purpose to be served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is capable of making a difference in a decision of a user is said to possess the quality of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is available before it loses its capacity to influence a user’s decision possesses the quality of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improves a decision maker’s ability to predict, confirm, or correct earlier expectations has the quality known as ______________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value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of information when there is a high degree of consensus about the information among independent measurers using the same measurement methods is referred to as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is objective is said to possess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from bias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enables users to compare the same object or event collected at two points in time is referred to as information that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of information that enables users to identify similarities and differences in two pieces of information is referred to as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________ is a tool designed to help you analyze a situation and relate processes to desired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matrix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Section ______________________________ of the Sarbanes-Oxley Act of 2002 requires auditors to report on about the effectiveness of the organizations’ systems of internal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Section ______________________________ of the Sarbanes-Oxley Act of 2002 requires management to identify, document, and evaluate significant internal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Section ______________________________ of the Sarbanes-Oxley Act of 2002 requires disclosure to the public on a rapid and current basis of material changes in an organization’s financial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 ________________ is a man-made system consisting of the people, authority, organization, policies, and procedures whose objective is to plan and control the operations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is data presented in a form that is useful in a decision-making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actual authorized events and objects has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is the correspondence or agreement between the information and the actual events or objects that the information represents.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 is the degree to which information includes data about every relevant object or event necessary to make a decision and includes that information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three-step decision-making process, searching the environment for conditions calling for a decision is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intelligence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three-step decision-making process, inventing, developing, and analyzing possible courses of action is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three-step decision-making process, selecting a course of action is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4:27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central repository for all the data related to the enterprise is known as the enterprise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As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of an AIS, the accountant brings knowledge of principles, IS techniques, and systems development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As a/an</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the accountant may also be called on to participate in the AIS design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As internal and external auditors, accountants</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interested in the reliability of the accounting data and of the reports produced by the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 collect and analyze accounting data to support criminal or civil legal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is a list of 10 information qualities: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848"/>
              <w:gridCol w:w="3515"/>
              <w:gridCol w:w="848"/>
              <w:gridCol w:w="3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56" w:type="dxa"/>
                  <w:gridSpan w:val="4"/>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u w:val="single"/>
                      <w:bdr w:val="nil"/>
                      <w:rtl w:val="0"/>
                    </w:rPr>
                    <w:t>Terms and concepts:</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Validity</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Relevance</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Consistency</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Predictive value</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396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Completeness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u w:val="single"/>
                <w:bdr w:val="nil"/>
                <w:rtl w:val="0"/>
              </w:rPr>
              <w:t>Required</w:t>
            </w:r>
            <w:r>
              <w:rPr>
                <w:rStyle w:val="DefaultParagraphFont"/>
                <w:rFonts w:ascii="Times New Roman" w:eastAsia="Times New Roman" w:hAnsi="Times New Roman" w:cs="Times New Roman"/>
                <w:b/>
                <w:bCs/>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Listed below are 10 descriptions of a term or concept. On the blank line to the left of each number, insert the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letter from the list above of the term or concept that corresponds to the statement. A letter should be used only once.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253"/>
              <w:gridCol w:w="910"/>
              <w:gridCol w:w="6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28" w:type="dxa"/>
                  <w:gridSpan w:val="2"/>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Answers</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DESCRIPTIONS</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trHeight w:val="225"/>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must enable users to identify similarities and differences in two pieces of information.</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must be in a language understood by the decision maker.</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must be capable of making a difference in a decision-making situation.</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can be used to compare between the same object or event collected at two points in time.</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must have a high degree of consensus about the information among independent measurers using the same measurement methods.</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must improve a decision maker’s capacity to predict, confirm, or correct earlier expectations.</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is about the actual authorized events and objects.</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includes data about every relevant object or event necessary to make a decision and includes that information only once.</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has to correspond to the actual events or objects that the information represents.</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1152"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7344"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that is available to a decision maker before it loses its capacity to influence a decision.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016"/>
                    <w:gridCol w:w="2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u w:val="single"/>
                            <w:bdr w:val="nil"/>
                            <w:rtl w:val="0"/>
                          </w:rPr>
                          <w:t>Descriptions</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u w:val="single"/>
                            <w:bdr w:val="nil"/>
                            <w:rtl w:val="0"/>
                          </w:rPr>
                          <w:t>Term or Concept</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1800"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2376" w:type="dxa"/>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7:35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activities performed and information used by each of the following levels in the management structure: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938"/>
              <w:gridCol w:w="77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82"/>
              <w:gridCol w:w="7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Suggested answer:</w:t>
                  </w:r>
                </w:p>
                <w:tbl>
                  <w:tblPr>
                    <w:jc w:val="left"/>
                    <w:tblBorders>
                      <w:top w:val="nil"/>
                      <w:left w:val="nil"/>
                      <w:bottom w:val="nil"/>
                      <w:right w:val="nil"/>
                      <w:insideH w:val="nil"/>
                      <w:insideV w:val="nil"/>
                    </w:tblBorders>
                    <w:tblCellMar>
                      <w:top w:w="0" w:type="dxa"/>
                      <w:left w:w="0" w:type="dxa"/>
                      <w:bottom w:w="0" w:type="dxa"/>
                      <w:right w:w="0" w:type="dxa"/>
                    </w:tblCellMar>
                  </w:tblPr>
                  <w:tblGrid>
                    <w:gridCol w:w="818"/>
                    <w:gridCol w:w="6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 requires information to assess the environment and to project future events and conditions. Such information is even more summarized, broader in scope, and comes from outside the organization more than does the information used by tactical management. To be useful to division managers, chief financial officers (CFOs), and chief executive officers (CEOs), information must relate to longer time periods, be sufficiently broad in scope, and be summarized to provide a means for judging the long-term effectiveness of management policies. External financial statements, annual sales reports, and division income statements are but a few examples of strategic-level information.</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management requires information that focuses on relevant operational units and is more summarized, broader in scope, and need not be as accurate as the information used by operations management. Some external information may be required. For example, a warehousing and distribution manager might want information about the timeliness of shipments each month.</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79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8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useful to operations management personnel is often an aggregate of data related to several business events. For example, a report summarizing shipments made each day might be useful to the shipping manager. At the operations management level, supervisors use this type of information to monitor the daily functioning of their operating units. The vertical information useful to operations management is a summarized and tailored version of the information that flows horizontally.</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three roles that an accountant can play in the AIS?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roles the accountant can play in the AIS are designer, user, and auditor.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is a designer of the AIS who brings knowledge of accounting principles, auditing principles, information systems techniques, and systems development methods.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is also a user of the AIS and will provide feedback on how well the system works, how easy or difficult it is to use, and on what items can be changed or improved from a user perspective. The accountant performs a number of functions within the organization such as controller, treasurer, financial analyst, all of which are users of the AIS. Accountants, as users of the system can also be effective in the design process because of the functions they perform.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internal and external auditors, accountants audit the AIS or provide assurance services about internal control or other items discussed in the chapter. Auditors are interested in the reliability of accounting data and of the reports produced by the system. They may test the system’s controls, assess the system’s efficiency and effectiveness, and participate in the system design process. The auditor must possess knowledge of internal controls, systems development techniques, technology and the design and operation of the AIS to be effective.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5 of the 10 items that comprise the components of the study of AIS in this 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10 components of the study of AIS are depicted in Figure 1.1. A detailed description of these components may be found in the chapter. Here is a brief summary of the detailed descriptions: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63"/>
                    <w:gridCol w:w="6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Technology.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developments have a profound effect on information systems; enterprise systems, ERP systems, e-business, databases, and intelligent systems are but a few examples. Technology provides the foundation on which AIS and business operations rest, and knowledge of technology is critically important to your understanding of the AIS discipline.</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Databases.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perform analysis, to prepare information for management decision making, and to audit a firm’s financial records, an accountant must be able to access and use data from public and private databases.</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Reporting.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design reports generated by an information system, the accountant must know what outputs are required or are desirable. These reports often support management decisions as well as fulfill certain reporting obligations. GAAP-based financial statements are but one example of reporting that will be considered in our study of AIS.</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Traditionally, accountants have been experts on controlling business processes. As a practicing accountant, you will probably spend much of your time providing such expertise. You must develop an understanding of control that is specific to the situation at hand, yet is adaptable for the future.</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Business operations.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Organizations engage in activities or operations, such as hiring employees, purchasing inventory, and collecting cash from customers. AIS operates in concert with these business operations. Many AIS inputs are prepared by operating departments (the </w:t>
                        </w:r>
                        <w:r>
                          <w:rPr>
                            <w:rStyle w:val="DefaultParagraphFont"/>
                            <w:rFonts w:ascii="Times New Roman" w:eastAsia="Times New Roman" w:hAnsi="Times New Roman" w:cs="Times New Roman"/>
                            <w:b w:val="0"/>
                            <w:bCs w:val="0"/>
                            <w:i/>
                            <w:iCs/>
                            <w:smallCaps w:val="0"/>
                            <w:color w:val="000000"/>
                            <w:sz w:val="22"/>
                            <w:szCs w:val="22"/>
                            <w:bdr w:val="nil"/>
                            <w:rtl w:val="0"/>
                          </w:rPr>
                          <w:t>action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 </w:t>
                        </w:r>
                        <w:r>
                          <w:rPr>
                            <w:rStyle w:val="DefaultParagraphFont"/>
                            <w:rFonts w:ascii="Times New Roman" w:eastAsia="Times New Roman" w:hAnsi="Times New Roman" w:cs="Times New Roman"/>
                            <w:b w:val="0"/>
                            <w:bCs w:val="0"/>
                            <w:i/>
                            <w:iCs/>
                            <w:smallCaps w:val="0"/>
                            <w:color w:val="000000"/>
                            <w:sz w:val="22"/>
                            <w:szCs w:val="22"/>
                            <w:bdr w:val="nil"/>
                            <w:rtl w:val="0"/>
                          </w:rPr>
                          <w:t>work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centers of the organization) and many AIS outputs are used to manage these operations. Therefore, we must analyze and manage an AIS in light of the work being performed by the organization.</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Events processing.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As organizations undertake their business operations, events, such as sales and purchases, occur. Data about these events must be captured and recorded to mirror and monitor the business operations. The events have operational and AIS aspects (i.e., some do not have a direct accounting impact, and some are accounting “transactions” that result in entries in the general ledger). To design and use the AIS, an accountant must know what event data are processed and how they are processed.</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Management decision making.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used for a decision must be tailored to the type of decision under consideration. Furthermore, the information is more useful if it recognizes the personal management styles and preferences of the decision maker.</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Systems development and operation.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systems that process business events and provide information for management decision making must be designed, implemented, and effectively operated. An accountant often participates in systems development projects as a user or business process owner contributing requests for certain functions or an auditor advancing controls for the new system. Choosing the data for a report, designing that report, and configuring an enterprise system are examples of systems development tasks that can be accomplished by an accountant.</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Communications.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present the results of their endeavors effectively, accountants must possess strong oral and written communication skills. Throughout this course, you will be required to evaluate alternatives, to choose a solution, and to defend your choice. Technical knowledge alone won’t be enough for the last task.</w:t>
                        </w:r>
                      </w:p>
                    </w:tc>
                  </w:tr>
                  <w:tr>
                    <w:tblPrEx>
                      <w:jc w:val="left"/>
                      <w:tblCellMar>
                        <w:top w:w="0" w:type="dxa"/>
                        <w:left w:w="0" w:type="dxa"/>
                        <w:bottom w:w="0" w:type="dxa"/>
                        <w:right w:w="0" w:type="dxa"/>
                      </w:tblCellMar>
                    </w:tblPrEx>
                    <w:trPr>
                      <w:cantSplit w:val="0"/>
                      <w:jc w:val="left"/>
                    </w:trPr>
                    <w:tc>
                      <w:tcPr>
                        <w:tcW w:w="720"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52"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Accounting and auditing principles.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design and operate the accounting system, an accountant must know the proper accounting procedures and must understand the audits to which the accounting information will be subjected.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7:42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effectiveness of information can be measured in many ways. Discuss five of these 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differ and should include five of the following: understandability, relevance (or reliability), timeliness (or availability), predictive value, feedback value, verifiability, neutrality (or freedom from bias), comparability, consistency, and integrity (or validity, accuracy, and completeness).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Understandability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enables users to perceive the information’s significance.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Information has </w:t>
                  </w:r>
                  <w:r>
                    <w:rPr>
                      <w:rStyle w:val="DefaultParagraphFont"/>
                      <w:rFonts w:ascii="Times New Roman" w:eastAsia="Times New Roman" w:hAnsi="Times New Roman" w:cs="Times New Roman"/>
                      <w:b/>
                      <w:bCs/>
                      <w:i w:val="0"/>
                      <w:iCs w:val="0"/>
                      <w:smallCaps w:val="0"/>
                      <w:color w:val="000000"/>
                      <w:sz w:val="22"/>
                      <w:szCs w:val="22"/>
                      <w:bdr w:val="nil"/>
                      <w:rtl w:val="0"/>
                    </w:rPr>
                    <w:t>relevance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it is capable of making a difference in a decision-making situation by reducing uncertainty or increasing knowledge for that particular decision.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Information that is available to a decision maker before it loses its capacity to influence a decision has </w:t>
                  </w:r>
                  <w:r>
                    <w:rPr>
                      <w:rStyle w:val="DefaultParagraphFont"/>
                      <w:rFonts w:ascii="Times New Roman" w:eastAsia="Times New Roman" w:hAnsi="Times New Roman" w:cs="Times New Roman"/>
                      <w:b/>
                      <w:bCs/>
                      <w:i w:val="0"/>
                      <w:iCs w:val="0"/>
                      <w:smallCaps w:val="0"/>
                      <w:color w:val="000000"/>
                      <w:sz w:val="22"/>
                      <w:szCs w:val="22"/>
                      <w:bdr w:val="nil"/>
                      <w:rtl w:val="0"/>
                    </w:rPr>
                    <w:t>timeliness.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Predictive value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 feedback value improve a decision maker’s capacity to predict, confirm, or correct earlier expectations.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there is a high degree of consensus about the information among independent measurers using the same measurement methods, the information has </w:t>
                  </w:r>
                  <w:r>
                    <w:rPr>
                      <w:rStyle w:val="DefaultParagraphFont"/>
                      <w:rFonts w:ascii="Times New Roman" w:eastAsia="Times New Roman" w:hAnsi="Times New Roman" w:cs="Times New Roman"/>
                      <w:b/>
                      <w:bCs/>
                      <w:i w:val="0"/>
                      <w:iCs w:val="0"/>
                      <w:smallCaps w:val="0"/>
                      <w:color w:val="000000"/>
                      <w:sz w:val="22"/>
                      <w:szCs w:val="22"/>
                      <w:bdr w:val="nil"/>
                      <w:rtl w:val="0"/>
                    </w:rPr>
                    <w:t>verifiability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Neutrality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bCs/>
                      <w:i w:val="0"/>
                      <w:iCs w:val="0"/>
                      <w:smallCaps w:val="0"/>
                      <w:color w:val="000000"/>
                      <w:sz w:val="22"/>
                      <w:szCs w:val="22"/>
                      <w:bdr w:val="nil"/>
                      <w:rtl w:val="0"/>
                    </w:rPr>
                    <w:t>freedom from bias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means that the information is objective.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Comparability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information quality that enables users to identify similarities and differences in two pieces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you can compare information about the same object or event collected at two points in time, the information is </w:t>
                  </w:r>
                  <w:r>
                    <w:rPr>
                      <w:rStyle w:val="DefaultParagraphFont"/>
                      <w:rFonts w:ascii="Times New Roman" w:eastAsia="Times New Roman" w:hAnsi="Times New Roman" w:cs="Times New Roman"/>
                      <w:b/>
                      <w:bCs/>
                      <w:i w:val="0"/>
                      <w:iCs w:val="0"/>
                      <w:smallCaps w:val="0"/>
                      <w:color w:val="000000"/>
                      <w:sz w:val="22"/>
                      <w:szCs w:val="22"/>
                      <w:bdr w:val="nil"/>
                      <w:rtl w:val="0"/>
                    </w:rPr>
                    <w:t>consistent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Information about actual authorized events and objects has </w:t>
                  </w:r>
                  <w:r>
                    <w:rPr>
                      <w:rStyle w:val="DefaultParagraphFont"/>
                      <w:rFonts w:ascii="Times New Roman" w:eastAsia="Times New Roman" w:hAnsi="Times New Roman" w:cs="Times New Roman"/>
                      <w:b/>
                      <w:bCs/>
                      <w:i w:val="0"/>
                      <w:iCs w:val="0"/>
                      <w:smallCaps w:val="0"/>
                      <w:color w:val="000000"/>
                      <w:sz w:val="22"/>
                      <w:szCs w:val="22"/>
                      <w:bdr w:val="nil"/>
                      <w:rtl w:val="0"/>
                    </w:rPr>
                    <w:t>validity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Accuracy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correspondence or agreement between the information and the actual events or objects that the information represents.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Completeness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degree to which information includes data about every relevant object or event necessary to make a decision and includes that information only once.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two of the ways in which conflict among the information qualities may arise. Provide an example for each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differ, but could include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Simultaneously achieving a maximum level for all the qualities of information is virtually impossible. In fact, for some of the qualities, an increased level of one generally requires a reduced level of another.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one instance, obtaining complete information for a decision may require delaying use of the information until all events related to the decision have taken place. That delay may sacrifice the timeliness of the information. For example, to determine all the merchandise shipments made in November, an organization may have to wait until several days into December to make sure that all shipments get posted.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obtain accurate information, you may carefully and methodically prepare the information, thus sacrificing the timeliness of the information. For example, to ensure the accuracy of a customer invoice, billing clerks might check the invoice for accuracy several times and then get their supervisor to initial the invoice, indicating that the supervisor also has checked the invoice for accuracy. These procedures certainly delay the mailing of the invoice.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9/20/2017 5:16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